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28"/>
        </w:rPr>
      </w:pPr>
      <w:r>
        <w:rPr>
          <w:rFonts w:hint="eastAsia" w:ascii="仿宋_GB2312" w:hAnsi="宋体" w:eastAsia="仿宋_GB2312"/>
          <w:sz w:val="28"/>
        </w:rPr>
        <w:t>附件1：</w:t>
      </w:r>
    </w:p>
    <w:p>
      <w:pPr>
        <w:jc w:val="center"/>
        <w:rPr>
          <w:rFonts w:hint="eastAsia" w:ascii="仿宋_GB2312" w:hAnsi="宋体" w:eastAsia="仿宋_GB2312"/>
          <w:sz w:val="44"/>
          <w:lang w:val="en-US" w:eastAsia="zh-CN"/>
        </w:rPr>
      </w:pPr>
    </w:p>
    <w:p>
      <w:pPr>
        <w:jc w:val="center"/>
        <w:rPr>
          <w:rFonts w:hint="eastAsia" w:ascii="仿宋_GB2312" w:hAnsi="宋体" w:eastAsia="仿宋_GB2312"/>
          <w:sz w:val="44"/>
          <w:lang w:val="en-US" w:eastAsia="zh-CN"/>
        </w:rPr>
      </w:pPr>
    </w:p>
    <w:p>
      <w:pPr>
        <w:jc w:val="center"/>
        <w:rPr>
          <w:rFonts w:hint="eastAsia" w:ascii="仿宋_GB2312" w:hAnsi="宋体" w:eastAsia="仿宋_GB2312"/>
          <w:sz w:val="44"/>
        </w:rPr>
      </w:pPr>
      <w:bookmarkStart w:id="0" w:name="_GoBack"/>
      <w:bookmarkEnd w:id="0"/>
      <w:r>
        <w:rPr>
          <w:rFonts w:hint="eastAsia" w:ascii="仿宋_GB2312" w:hAnsi="宋体" w:eastAsia="仿宋_GB2312"/>
          <w:sz w:val="44"/>
          <w:lang w:val="en-US" w:eastAsia="zh-CN"/>
        </w:rPr>
        <w:t>成都</w:t>
      </w:r>
      <w:r>
        <w:rPr>
          <w:rFonts w:hint="eastAsia" w:ascii="仿宋_GB2312" w:hAnsi="宋体" w:eastAsia="仿宋_GB2312"/>
          <w:sz w:val="44"/>
        </w:rPr>
        <w:t>锦城学院简介</w:t>
      </w:r>
    </w:p>
    <w:p>
      <w:pPr>
        <w:spacing w:line="540" w:lineRule="exact"/>
        <w:rPr>
          <w:rFonts w:hint="eastAsia" w:ascii="仿宋_GB2312" w:hAnsi="宋体" w:eastAsia="仿宋_GB2312"/>
          <w:sz w:val="28"/>
        </w:rPr>
      </w:pPr>
      <w:r>
        <w:rPr>
          <w:rFonts w:hint="eastAsia" w:ascii="仿宋_GB2312" w:hAnsi="宋体" w:eastAsia="仿宋_GB2312"/>
          <w:sz w:val="28"/>
        </w:rPr>
        <w:t xml:space="preserve">    </w:t>
      </w:r>
    </w:p>
    <w:p>
      <w:pPr>
        <w:rPr>
          <w:rFonts w:hint="eastAsia"/>
          <w:sz w:val="28"/>
          <w:szCs w:val="28"/>
        </w:rPr>
      </w:pPr>
      <w:r>
        <w:rPr>
          <w:rFonts w:hint="eastAsia" w:ascii="仿宋_GB2312" w:hAnsi="宋体" w:eastAsia="仿宋_GB2312"/>
          <w:sz w:val="24"/>
          <w:szCs w:val="18"/>
        </w:rPr>
        <w:t xml:space="preserve">    </w:t>
      </w:r>
      <w:r>
        <w:rPr>
          <w:rFonts w:hint="eastAsia"/>
          <w:sz w:val="28"/>
          <w:szCs w:val="28"/>
        </w:rPr>
        <w:t xml:space="preserve">成都锦城学院的前身为四川大学锦城学院，始建于2005年，是由四川大学与四川锦城实业发展有限公司合作举办的独立学院。2021年6月，经教育部批准，四川大学锦城学院转设为独立设置的全日制普通本科高校，并更名为成都锦城学院。 </w:t>
      </w:r>
    </w:p>
    <w:p>
      <w:pPr>
        <w:rPr>
          <w:rFonts w:hint="eastAsia"/>
          <w:sz w:val="28"/>
          <w:szCs w:val="28"/>
        </w:rPr>
      </w:pPr>
      <w:r>
        <w:rPr>
          <w:rFonts w:hint="eastAsia"/>
          <w:sz w:val="28"/>
          <w:szCs w:val="28"/>
        </w:rPr>
        <w:t xml:space="preserve">    学校先后荣获“全国十大特色院校”、“公众满意中国十大名牌独立学院”、“优秀专业特色独立学院”称号，更连续两年荣获“综合实力20强独立学院”及“四川省普通高等学校毕业生就业工作先进单位”殊荣,我校毕业生以其良好的综合素质赢得了用人单位的广泛好评和普遍欢迎。</w:t>
      </w:r>
    </w:p>
    <w:p>
      <w:pPr>
        <w:pStyle w:val="3"/>
        <w:shd w:val="clear" w:color="auto" w:fill="FFFFFF"/>
        <w:ind w:firstLine="560" w:firstLineChars="200"/>
        <w:rPr>
          <w:rFonts w:hint="eastAsia" w:ascii="宋体" w:hAnsi="宋体" w:eastAsia="宋体" w:cs="宋体"/>
          <w:color w:val="auto"/>
          <w:sz w:val="28"/>
          <w:szCs w:val="28"/>
          <w:lang w:eastAsia="zh-CN"/>
        </w:rPr>
      </w:pPr>
      <w:r>
        <w:rPr>
          <w:rFonts w:hint="eastAsia"/>
          <w:sz w:val="28"/>
          <w:szCs w:val="28"/>
        </w:rPr>
        <w:t>学校现设有11个二级学院、57个本科专业、27个专科专业、100余个专业方向，在校生2.</w:t>
      </w:r>
      <w:r>
        <w:rPr>
          <w:rFonts w:hint="eastAsia"/>
          <w:sz w:val="28"/>
          <w:szCs w:val="28"/>
          <w:lang w:val="en-US" w:eastAsia="zh-CN"/>
        </w:rPr>
        <w:t>70</w:t>
      </w:r>
      <w:r>
        <w:rPr>
          <w:rFonts w:hint="eastAsia"/>
          <w:sz w:val="28"/>
          <w:szCs w:val="28"/>
        </w:rPr>
        <w:t>万人，形成了文、理、工、经、管、艺六个学科门类协调发展，多层次、多形式的专业门类较为齐全的综合性的办学格局。</w:t>
      </w:r>
    </w:p>
    <w:p>
      <w:pPr>
        <w:spacing w:line="540" w:lineRule="exact"/>
        <w:ind w:firstLine="240" w:firstLineChars="100"/>
        <w:rPr>
          <w:rFonts w:hint="eastAsia" w:ascii="仿宋_GB2312" w:hAnsi="宋体" w:eastAsia="仿宋_GB2312"/>
          <w:sz w:val="24"/>
          <w:szCs w:val="18"/>
        </w:rPr>
      </w:pPr>
    </w:p>
    <w:p>
      <w:pPr>
        <w:spacing w:line="540" w:lineRule="exact"/>
        <w:ind w:firstLine="240" w:firstLineChars="100"/>
        <w:rPr>
          <w:rFonts w:hint="eastAsia" w:ascii="仿宋_GB2312" w:hAnsi="宋体" w:eastAsia="仿宋_GB2312"/>
          <w:sz w:val="24"/>
          <w:szCs w:val="18"/>
        </w:rPr>
      </w:pPr>
    </w:p>
    <w:p>
      <w:pPr>
        <w:adjustRightInd w:val="0"/>
        <w:snapToGrid w:val="0"/>
        <w:spacing w:line="560" w:lineRule="exact"/>
        <w:rPr>
          <w:rFonts w:hint="eastAsia"/>
        </w:rPr>
      </w:pPr>
    </w:p>
    <w:p/>
    <w:sectPr>
      <w:footerReference r:id="rId3" w:type="default"/>
      <w:footerReference r:id="rId4" w:type="even"/>
      <w:endnotePr>
        <w:numFmt w:val="decimal"/>
      </w:endnotePr>
      <w:pgSz w:w="11906" w:h="16838"/>
      <w:pgMar w:top="1440"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rPr>
    </w:pPr>
    <w:r>
      <w:rPr>
        <w:rStyle w:val="6"/>
        <w:rFonts w:hint="eastAsia"/>
      </w:rPr>
      <w:t>—</w:t>
    </w:r>
    <w:r>
      <w:fldChar w:fldCharType="begin"/>
    </w:r>
    <w:r>
      <w:rPr>
        <w:rStyle w:val="6"/>
      </w:rPr>
      <w:instrText xml:space="preserve">PAGE  </w:instrText>
    </w:r>
    <w:r>
      <w:fldChar w:fldCharType="separate"/>
    </w:r>
    <w:r>
      <w:rPr>
        <w:rStyle w:val="6"/>
      </w:rPr>
      <w:t>5</w:t>
    </w:r>
    <w:r>
      <w:fldChar w:fldCharType="end"/>
    </w:r>
    <w:r>
      <w:rPr>
        <w:rStyle w:val="6"/>
        <w:rFonts w:hint="eastAsia"/>
      </w:rPr>
      <w:t>—</w:t>
    </w:r>
  </w:p>
  <w:p>
    <w:pPr>
      <w:pStyle w:val="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liY2VmNmRkOGNhMmM5Mjc5ZDUxZjdlN2IyMjkifQ=="/>
  </w:docVars>
  <w:rsids>
    <w:rsidRoot w:val="00000000"/>
    <w:rsid w:val="471A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2022-11-03T07:57:07Z</dcterms:created>
  <dc:creator>admin</dc:creator>
  <cp:lastModifiedBy>省企联</cp:lastModifiedBy>
  <dcterms:modified xsi:type="dcterms:W3CDTF">2022-11-03T07:57:17Z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C506332A1F984B5BAE5BD221C2D84B91</vt:lpwstr>
  </property>
</Properties>
</file>