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/>
          <w:bCs/>
          <w:sz w:val="30"/>
          <w:szCs w:val="30"/>
        </w:rPr>
      </w:pPr>
    </w:p>
    <w:p>
      <w:pPr>
        <w:spacing w:line="520" w:lineRule="exact"/>
        <w:rPr>
          <w:rFonts w:hint="eastAsia" w:ascii="仿宋_GB2312" w:hAnsi="宋体" w:eastAsia="仿宋_GB2312"/>
          <w:b w:val="0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</w:rPr>
        <w:t>附：</w:t>
      </w:r>
      <w:bookmarkStart w:id="0" w:name="_GoBack"/>
      <w:r>
        <w:rPr>
          <w:rFonts w:hint="eastAsia" w:ascii="仿宋_GB2312" w:hAnsi="宋体" w:eastAsia="仿宋_GB2312"/>
          <w:b w:val="0"/>
          <w:bCs/>
          <w:sz w:val="32"/>
          <w:szCs w:val="32"/>
        </w:rPr>
        <w:t>2018年四川企业技术创新发展能力100强发布会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开票信息提交码及报名码</w:t>
      </w:r>
      <w:bookmarkEnd w:id="0"/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。</w:t>
      </w:r>
    </w:p>
    <w:p>
      <w:pPr>
        <w:spacing w:line="520" w:lineRule="exact"/>
        <w:jc w:val="center"/>
        <w:rPr>
          <w:rFonts w:hint="eastAsia" w:ascii="仿宋_GB2312" w:hAnsi="宋体" w:eastAsia="仿宋_GB2312"/>
          <w:b/>
          <w:sz w:val="30"/>
          <w:szCs w:val="30"/>
        </w:rPr>
      </w:pPr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197485</wp:posOffset>
            </wp:positionV>
            <wp:extent cx="1019175" cy="990600"/>
            <wp:effectExtent l="0" t="0" r="9525" b="0"/>
            <wp:wrapTight wrapText="bothSides">
              <wp:wrapPolygon>
                <wp:start x="0" y="0"/>
                <wp:lineTo x="0" y="21185"/>
                <wp:lineTo x="21398" y="21185"/>
                <wp:lineTo x="21398" y="0"/>
                <wp:lineTo x="0" y="0"/>
              </wp:wrapPolygon>
            </wp:wrapTight>
            <wp:docPr id="3" name="图片 2" descr="4Z3Rmrz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4Z3Rmrz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628015</wp:posOffset>
            </wp:positionH>
            <wp:positionV relativeFrom="paragraph">
              <wp:posOffset>179705</wp:posOffset>
            </wp:positionV>
            <wp:extent cx="1029335" cy="1029335"/>
            <wp:effectExtent l="0" t="0" r="18415" b="18415"/>
            <wp:wrapTight wrapText="bothSides">
              <wp:wrapPolygon>
                <wp:start x="0" y="0"/>
                <wp:lineTo x="0" y="21187"/>
                <wp:lineTo x="21187" y="21187"/>
                <wp:lineTo x="21187" y="0"/>
                <wp:lineTo x="0" y="0"/>
              </wp:wrapPolygon>
            </wp:wrapTight>
            <wp:docPr id="1" name="图片 3" descr="S7EvM7Q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S7EvM7Q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4390390</wp:posOffset>
            </wp:positionH>
            <wp:positionV relativeFrom="paragraph">
              <wp:posOffset>177800</wp:posOffset>
            </wp:positionV>
            <wp:extent cx="964565" cy="992505"/>
            <wp:effectExtent l="0" t="0" r="6985" b="17145"/>
            <wp:wrapSquare wrapText="bothSides"/>
            <wp:docPr id="2" name="图片 20" descr="2018四川企业技术创新发展能力100强发布会扫码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 descr="2018四川企业技术创新发展能力100强发布会扫码报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</w:pPr>
    </w:p>
    <w:p>
      <w:pPr>
        <w:widowControl/>
        <w:tabs>
          <w:tab w:val="left" w:pos="5968"/>
          <w:tab w:val="left" w:pos="6748"/>
        </w:tabs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  <w:lang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  <w:lang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  <w:lang w:val="en-US" w:eastAsia="zh-CN"/>
        </w:rPr>
        <w:t xml:space="preserve">   </w:t>
      </w:r>
    </w:p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  <w:lang w:val="en-US" w:eastAsia="zh-CN"/>
        </w:rPr>
        <w:t xml:space="preserve"> </w:t>
      </w:r>
    </w:p>
    <w:p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扫码开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专票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扫码开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普票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          扫码报名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kern w:val="0"/>
          <w:sz w:val="22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4184C"/>
    <w:rsid w:val="4675788F"/>
    <w:rsid w:val="7F04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2018-12-06T03:26:00Z</dcterms:created>
  <dc:creator>琚新民四川省企业联合会</dc:creator>
  <cp:lastModifiedBy>琚新民四川省企业联合会</cp:lastModifiedBy>
  <dcterms:modified xsi:type="dcterms:W3CDTF">2018-12-06T03:26:54Z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